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96BF" w14:textId="77777777" w:rsidR="0019431C" w:rsidRPr="00113D36" w:rsidRDefault="0019431C" w:rsidP="0019431C">
      <w:pPr>
        <w:pStyle w:val="Default"/>
        <w:ind w:left="6237"/>
        <w:rPr>
          <w:rFonts w:ascii="Arial" w:hAnsi="Arial" w:cs="Arial"/>
          <w:color w:val="auto"/>
          <w:sz w:val="23"/>
          <w:szCs w:val="23"/>
          <w:lang w:val="ru-RU"/>
        </w:rPr>
      </w:pPr>
      <w:r w:rsidRPr="00113D36">
        <w:rPr>
          <w:rFonts w:ascii="Arial" w:hAnsi="Arial" w:cs="Arial"/>
          <w:color w:val="auto"/>
          <w:sz w:val="23"/>
          <w:szCs w:val="23"/>
        </w:rPr>
        <w:t>Додаток</w:t>
      </w:r>
      <w:r w:rsidR="006D1022">
        <w:rPr>
          <w:rFonts w:ascii="Arial" w:hAnsi="Arial" w:cs="Arial"/>
          <w:color w:val="auto"/>
          <w:sz w:val="23"/>
          <w:szCs w:val="23"/>
        </w:rPr>
        <w:t xml:space="preserve"> 2</w:t>
      </w:r>
    </w:p>
    <w:p w14:paraId="0AF2D822" w14:textId="77777777" w:rsidR="0019431C" w:rsidRPr="006D1022" w:rsidRDefault="0019431C" w:rsidP="0019431C">
      <w:pPr>
        <w:pStyle w:val="Default"/>
        <w:ind w:left="6237"/>
        <w:rPr>
          <w:rFonts w:ascii="Arial" w:hAnsi="Arial" w:cs="Arial"/>
          <w:color w:val="auto"/>
          <w:sz w:val="23"/>
          <w:szCs w:val="23"/>
          <w:lang w:val="ru-RU"/>
        </w:rPr>
      </w:pPr>
      <w:r w:rsidRPr="00113D36">
        <w:rPr>
          <w:rFonts w:ascii="Arial" w:hAnsi="Arial" w:cs="Arial"/>
          <w:color w:val="auto"/>
          <w:sz w:val="23"/>
          <w:szCs w:val="23"/>
        </w:rPr>
        <w:t xml:space="preserve">до Договору про постачання </w:t>
      </w:r>
    </w:p>
    <w:p w14:paraId="215A536A" w14:textId="77777777" w:rsidR="0019431C" w:rsidRPr="00113D36" w:rsidRDefault="0019431C" w:rsidP="0019431C">
      <w:pPr>
        <w:pStyle w:val="Default"/>
        <w:ind w:left="6237"/>
        <w:rPr>
          <w:rFonts w:ascii="Arial" w:hAnsi="Arial" w:cs="Arial"/>
          <w:color w:val="auto"/>
          <w:sz w:val="23"/>
          <w:szCs w:val="23"/>
        </w:rPr>
      </w:pPr>
      <w:r w:rsidRPr="00113D36">
        <w:rPr>
          <w:rFonts w:ascii="Arial" w:hAnsi="Arial" w:cs="Arial"/>
          <w:color w:val="auto"/>
          <w:sz w:val="23"/>
          <w:szCs w:val="23"/>
        </w:rPr>
        <w:t xml:space="preserve">електричної енергії споживачу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5468"/>
      </w:tblGrid>
      <w:tr w:rsidR="0019431C" w:rsidRPr="00113D36" w14:paraId="36AC6763" w14:textId="77777777" w:rsidTr="0019431C">
        <w:trPr>
          <w:trHeight w:val="2092"/>
        </w:trPr>
        <w:tc>
          <w:tcPr>
            <w:tcW w:w="4705" w:type="dxa"/>
          </w:tcPr>
          <w:p w14:paraId="213ED2CA" w14:textId="77777777" w:rsidR="00687D75" w:rsidRDefault="0019431C" w:rsidP="00687D75">
            <w:pPr>
              <w:pStyle w:val="Default"/>
              <w:rPr>
                <w:rFonts w:ascii="Arial" w:hAnsi="Arial" w:cs="Arial"/>
                <w:b/>
                <w:bCs/>
                <w:color w:val="auto"/>
                <w:sz w:val="23"/>
                <w:szCs w:val="23"/>
              </w:rPr>
            </w:pPr>
            <w:r w:rsidRPr="00113D36">
              <w:rPr>
                <w:rFonts w:ascii="Arial" w:hAnsi="Arial" w:cs="Arial"/>
                <w:b/>
                <w:bCs/>
                <w:color w:val="auto"/>
                <w:sz w:val="23"/>
                <w:szCs w:val="23"/>
              </w:rPr>
              <w:t xml:space="preserve">КОМЕРЦІЙНА ПРОПОЗИЦІЯ </w:t>
            </w:r>
          </w:p>
          <w:p w14:paraId="02295B97" w14:textId="77777777" w:rsidR="0019431C" w:rsidRPr="00113D36" w:rsidRDefault="0019431C" w:rsidP="00687D75">
            <w:pPr>
              <w:pStyle w:val="Default"/>
              <w:rPr>
                <w:rFonts w:ascii="Arial" w:hAnsi="Arial" w:cs="Arial"/>
                <w:sz w:val="18"/>
                <w:szCs w:val="18"/>
              </w:rPr>
            </w:pPr>
            <w:r w:rsidRPr="00113D36">
              <w:rPr>
                <w:rFonts w:ascii="Arial" w:hAnsi="Arial" w:cs="Arial"/>
                <w:sz w:val="20"/>
                <w:szCs w:val="20"/>
              </w:rPr>
              <w:t>Критерії, яким має відповідати Споживач, що обирає дану комерційну пропозицію</w:t>
            </w:r>
            <w:r w:rsidRPr="00113D36">
              <w:rPr>
                <w:rFonts w:ascii="Arial" w:hAnsi="Arial" w:cs="Arial"/>
                <w:sz w:val="18"/>
                <w:szCs w:val="18"/>
              </w:rPr>
              <w:t xml:space="preserve"> </w:t>
            </w:r>
          </w:p>
        </w:tc>
        <w:tc>
          <w:tcPr>
            <w:tcW w:w="5468" w:type="dxa"/>
          </w:tcPr>
          <w:p w14:paraId="07AB58EC"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1) об'єкт споживача підключений до мереж оператора системи розподілу (передачі) у встановленому законодавством порядку (споживач є стороною діючого договору про надання послуг з розподілу (передачі) електричної енергії); </w:t>
            </w:r>
          </w:p>
          <w:p w14:paraId="537EF787"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2) за усіма точками комерційного обліку на об'єкті (об'єктах) споживача, за якими здійснюється (планується) постачання електричної енергії, укладено договір з постачальником послуг комерційного обліку про надання послуг комерційного обліку електричної енергії; </w:t>
            </w:r>
          </w:p>
          <w:p w14:paraId="48EAE3CE"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3)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 </w:t>
            </w:r>
          </w:p>
          <w:p w14:paraId="7632245C"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4) відсутня прострочена заборгованість за договорами про постачання електричної енергії або про надання послуг системи розподілу/передачі. </w:t>
            </w:r>
          </w:p>
          <w:p w14:paraId="7CA9C50B"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5) Споживач є власником (користувачем) об'єкта; </w:t>
            </w:r>
          </w:p>
          <w:p w14:paraId="17F93F4B"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6) наявний облік електричної енергії забезпечує можливість застосування цін (тарифів), передбачених даною комерційною пропозицією; </w:t>
            </w:r>
          </w:p>
          <w:p w14:paraId="4FFDE34E"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7) 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 </w:t>
            </w:r>
          </w:p>
          <w:p w14:paraId="5A0616FA" w14:textId="77777777" w:rsidR="0019431C" w:rsidRPr="00113D36" w:rsidRDefault="0019431C">
            <w:pPr>
              <w:pStyle w:val="Default"/>
              <w:rPr>
                <w:rFonts w:ascii="Arial" w:hAnsi="Arial" w:cs="Arial"/>
                <w:sz w:val="18"/>
                <w:szCs w:val="18"/>
              </w:rPr>
            </w:pPr>
            <w:r w:rsidRPr="00113D36">
              <w:rPr>
                <w:rFonts w:ascii="Arial" w:hAnsi="Arial" w:cs="Arial"/>
                <w:sz w:val="20"/>
                <w:szCs w:val="20"/>
              </w:rPr>
              <w:t>8) місячне планове споживання більше 50</w:t>
            </w:r>
            <w:r w:rsidR="00687D75">
              <w:rPr>
                <w:rFonts w:ascii="Arial" w:hAnsi="Arial" w:cs="Arial"/>
                <w:sz w:val="20"/>
                <w:szCs w:val="20"/>
              </w:rPr>
              <w:t>0</w:t>
            </w:r>
            <w:r w:rsidRPr="00113D36">
              <w:rPr>
                <w:rFonts w:ascii="Arial" w:hAnsi="Arial" w:cs="Arial"/>
                <w:sz w:val="20"/>
                <w:szCs w:val="20"/>
              </w:rPr>
              <w:t xml:space="preserve"> тис. кВт*год.</w:t>
            </w:r>
            <w:r w:rsidRPr="00113D36">
              <w:rPr>
                <w:rFonts w:ascii="Arial" w:hAnsi="Arial" w:cs="Arial"/>
                <w:sz w:val="18"/>
                <w:szCs w:val="18"/>
              </w:rPr>
              <w:t xml:space="preserve"> </w:t>
            </w:r>
          </w:p>
        </w:tc>
      </w:tr>
      <w:tr w:rsidR="0019431C" w:rsidRPr="00113D36" w14:paraId="239C2571" w14:textId="77777777" w:rsidTr="0019431C">
        <w:trPr>
          <w:trHeight w:val="309"/>
        </w:trPr>
        <w:tc>
          <w:tcPr>
            <w:tcW w:w="4705" w:type="dxa"/>
          </w:tcPr>
          <w:p w14:paraId="0F071064"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Територія здійснення ліцензованої </w:t>
            </w:r>
          </w:p>
          <w:p w14:paraId="1D0C947D" w14:textId="77777777" w:rsidR="0019431C" w:rsidRPr="00113D36" w:rsidRDefault="0019431C">
            <w:pPr>
              <w:pStyle w:val="Default"/>
              <w:rPr>
                <w:rFonts w:ascii="Arial" w:hAnsi="Arial" w:cs="Arial"/>
                <w:sz w:val="18"/>
                <w:szCs w:val="18"/>
              </w:rPr>
            </w:pPr>
            <w:r w:rsidRPr="00113D36">
              <w:rPr>
                <w:rFonts w:ascii="Arial" w:hAnsi="Arial" w:cs="Arial"/>
                <w:sz w:val="20"/>
                <w:szCs w:val="20"/>
              </w:rPr>
              <w:t>діяльності</w:t>
            </w:r>
            <w:r w:rsidRPr="00113D36">
              <w:rPr>
                <w:rFonts w:ascii="Arial" w:hAnsi="Arial" w:cs="Arial"/>
                <w:sz w:val="18"/>
                <w:szCs w:val="18"/>
              </w:rPr>
              <w:t xml:space="preserve"> </w:t>
            </w:r>
          </w:p>
        </w:tc>
        <w:tc>
          <w:tcPr>
            <w:tcW w:w="5468" w:type="dxa"/>
          </w:tcPr>
          <w:p w14:paraId="06A92FD1" w14:textId="11F92E81" w:rsidR="0019431C" w:rsidRPr="009D6DD5" w:rsidRDefault="0019431C" w:rsidP="0019431C">
            <w:pPr>
              <w:pStyle w:val="Default"/>
              <w:rPr>
                <w:rFonts w:ascii="Arial" w:hAnsi="Arial" w:cs="Arial"/>
                <w:sz w:val="20"/>
                <w:szCs w:val="20"/>
                <w:lang w:val="ru-RU"/>
              </w:rPr>
            </w:pPr>
            <w:r w:rsidRPr="00113D36">
              <w:rPr>
                <w:rFonts w:ascii="Arial" w:hAnsi="Arial" w:cs="Arial"/>
                <w:sz w:val="20"/>
                <w:szCs w:val="20"/>
              </w:rPr>
              <w:t xml:space="preserve">Постачальник здійснює постачання електричної енергії на території </w:t>
            </w:r>
            <w:r w:rsidR="009D6DD5">
              <w:rPr>
                <w:rFonts w:ascii="Arial" w:hAnsi="Arial" w:cs="Arial"/>
                <w:sz w:val="20"/>
                <w:szCs w:val="20"/>
                <w:lang w:val="ru-RU"/>
              </w:rPr>
              <w:t>Одесь</w:t>
            </w:r>
            <w:r w:rsidRPr="00113D36">
              <w:rPr>
                <w:rFonts w:ascii="Arial" w:hAnsi="Arial" w:cs="Arial"/>
                <w:sz w:val="20"/>
                <w:szCs w:val="20"/>
              </w:rPr>
              <w:t xml:space="preserve">кої області. </w:t>
            </w:r>
          </w:p>
        </w:tc>
      </w:tr>
      <w:tr w:rsidR="0019431C" w:rsidRPr="00113D36" w14:paraId="65E19126" w14:textId="77777777" w:rsidTr="0019431C">
        <w:trPr>
          <w:trHeight w:val="1986"/>
        </w:trPr>
        <w:tc>
          <w:tcPr>
            <w:tcW w:w="4705" w:type="dxa"/>
          </w:tcPr>
          <w:p w14:paraId="38552297"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Ціна </w:t>
            </w:r>
          </w:p>
        </w:tc>
        <w:tc>
          <w:tcPr>
            <w:tcW w:w="5468" w:type="dxa"/>
          </w:tcPr>
          <w:p w14:paraId="5DE0E690" w14:textId="087605BA" w:rsidR="00BA4E33" w:rsidRPr="00BA4E33" w:rsidRDefault="00BA4E33">
            <w:pPr>
              <w:pStyle w:val="Default"/>
              <w:rPr>
                <w:rFonts w:asciiTheme="minorHAnsi" w:hAnsiTheme="minorHAnsi" w:cstheme="minorHAnsi"/>
                <w:sz w:val="20"/>
                <w:szCs w:val="20"/>
              </w:rPr>
            </w:pPr>
            <w:r w:rsidRPr="000B4880">
              <w:rPr>
                <w:rFonts w:asciiTheme="minorHAnsi" w:hAnsiTheme="minorHAnsi" w:cstheme="minorHAnsi"/>
              </w:rPr>
              <w:t xml:space="preserve">Ціна на електричну енергію за 1 кВт*год на момент публікації для розрахункового періоду </w:t>
            </w:r>
            <w:r w:rsidR="007D39AA" w:rsidRPr="000B4880">
              <w:rPr>
                <w:rFonts w:asciiTheme="minorHAnsi" w:hAnsiTheme="minorHAnsi" w:cstheme="minorHAnsi"/>
              </w:rPr>
              <w:t>червень</w:t>
            </w:r>
            <w:r w:rsidRPr="000B4880">
              <w:rPr>
                <w:rFonts w:asciiTheme="minorHAnsi" w:hAnsiTheme="minorHAnsi" w:cstheme="minorHAnsi"/>
              </w:rPr>
              <w:t xml:space="preserve"> 2025 року становить </w:t>
            </w:r>
            <w:r w:rsidR="007D39AA" w:rsidRPr="000B4880">
              <w:rPr>
                <w:rFonts w:asciiTheme="minorHAnsi" w:hAnsiTheme="minorHAnsi" w:cstheme="minorHAnsi"/>
              </w:rPr>
              <w:t xml:space="preserve">7,25033 </w:t>
            </w:r>
            <w:r w:rsidRPr="000B4880">
              <w:rPr>
                <w:rFonts w:asciiTheme="minorHAnsi" w:hAnsiTheme="minorHAnsi" w:cstheme="minorHAnsi"/>
              </w:rPr>
              <w:t>грн/кВт*год без ПДВ.</w:t>
            </w:r>
            <w:r w:rsidR="007D39AA">
              <w:rPr>
                <w:rFonts w:asciiTheme="minorHAnsi" w:hAnsiTheme="minorHAnsi" w:cstheme="minorHAnsi"/>
              </w:rPr>
              <w:t xml:space="preserve"> </w:t>
            </w:r>
          </w:p>
          <w:p w14:paraId="351CB9B9" w14:textId="17FA1D93" w:rsidR="0019431C" w:rsidRPr="00113D36" w:rsidRDefault="0019431C">
            <w:pPr>
              <w:pStyle w:val="Default"/>
              <w:rPr>
                <w:rFonts w:ascii="Arial" w:hAnsi="Arial" w:cs="Arial"/>
                <w:sz w:val="20"/>
                <w:szCs w:val="20"/>
              </w:rPr>
            </w:pPr>
            <w:r w:rsidRPr="00113D36">
              <w:rPr>
                <w:rFonts w:ascii="Arial" w:hAnsi="Arial" w:cs="Arial"/>
                <w:sz w:val="20"/>
                <w:szCs w:val="20"/>
              </w:rPr>
              <w:t xml:space="preserve">При розрахунку розміру попередньої оплати за електричну енергію застосовується прогнозована ціна (тариф) за 1 кВт*год., яка визначається за формулою: </w:t>
            </w:r>
          </w:p>
          <w:p w14:paraId="2A0DB0E5" w14:textId="77777777" w:rsidR="0019431C" w:rsidRPr="00113D36" w:rsidRDefault="0019431C">
            <w:pPr>
              <w:pStyle w:val="Default"/>
              <w:rPr>
                <w:rFonts w:ascii="Arial" w:hAnsi="Arial" w:cs="Arial"/>
                <w:sz w:val="20"/>
                <w:szCs w:val="20"/>
              </w:rPr>
            </w:pPr>
            <w:r w:rsidRPr="00113D36">
              <w:rPr>
                <w:rFonts w:ascii="Arial" w:hAnsi="Arial" w:cs="Arial"/>
                <w:b/>
                <w:bCs/>
                <w:sz w:val="20"/>
                <w:szCs w:val="20"/>
              </w:rPr>
              <w:t>Ц</w:t>
            </w:r>
            <w:r w:rsidR="00687D75">
              <w:rPr>
                <w:rFonts w:ascii="Arial" w:hAnsi="Arial" w:cs="Arial"/>
                <w:b/>
                <w:bCs/>
                <w:sz w:val="20"/>
                <w:szCs w:val="20"/>
              </w:rPr>
              <w:t>п</w:t>
            </w:r>
            <w:r w:rsidRPr="00113D36">
              <w:rPr>
                <w:rFonts w:ascii="Arial" w:hAnsi="Arial" w:cs="Arial"/>
                <w:b/>
                <w:bCs/>
                <w:sz w:val="20"/>
                <w:szCs w:val="20"/>
              </w:rPr>
              <w:t>=1,5*ОРЦ</w:t>
            </w:r>
            <w:r w:rsidRPr="00113D36">
              <w:rPr>
                <w:rFonts w:ascii="Arial" w:hAnsi="Arial" w:cs="Arial"/>
                <w:sz w:val="20"/>
                <w:szCs w:val="20"/>
              </w:rPr>
              <w:t xml:space="preserve">, де </w:t>
            </w:r>
          </w:p>
          <w:p w14:paraId="6A480DFE"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ОРЦ – прогнозована оптова ринкова ціна, затверджена НКРЕКП на відповідний розрахунковий період з урахуванням ПДВ. </w:t>
            </w:r>
          </w:p>
          <w:p w14:paraId="694DAA14"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Фактична ціна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 </w:t>
            </w:r>
          </w:p>
          <w:p w14:paraId="6382B52E" w14:textId="77777777" w:rsidR="0019431C" w:rsidRPr="00113D36" w:rsidRDefault="0019431C">
            <w:pPr>
              <w:pStyle w:val="Default"/>
              <w:rPr>
                <w:rFonts w:ascii="Arial" w:hAnsi="Arial" w:cs="Arial"/>
                <w:sz w:val="20"/>
                <w:szCs w:val="20"/>
              </w:rPr>
            </w:pPr>
            <w:r w:rsidRPr="00113D36">
              <w:rPr>
                <w:rFonts w:ascii="Arial" w:hAnsi="Arial" w:cs="Arial"/>
                <w:b/>
                <w:bCs/>
                <w:sz w:val="20"/>
                <w:szCs w:val="20"/>
              </w:rPr>
              <w:t>Цфакт= (</w:t>
            </w:r>
            <w:r w:rsidR="00687D75">
              <w:rPr>
                <w:rFonts w:ascii="Arial" w:hAnsi="Arial" w:cs="Arial"/>
                <w:b/>
                <w:bCs/>
                <w:sz w:val="20"/>
                <w:szCs w:val="20"/>
                <w:lang w:val="en-US"/>
              </w:rPr>
              <w:t>V</w:t>
            </w:r>
            <w:r w:rsidRPr="00113D36">
              <w:rPr>
                <w:rFonts w:ascii="Arial" w:hAnsi="Arial" w:cs="Arial"/>
                <w:b/>
                <w:bCs/>
                <w:sz w:val="20"/>
                <w:szCs w:val="20"/>
              </w:rPr>
              <w:t xml:space="preserve">ф/ Wф)* </w:t>
            </w:r>
            <w:r w:rsidR="00687D75">
              <w:rPr>
                <w:rFonts w:ascii="Arial" w:hAnsi="Arial" w:cs="Arial"/>
                <w:b/>
                <w:bCs/>
                <w:sz w:val="20"/>
                <w:szCs w:val="20"/>
              </w:rPr>
              <w:t>Т</w:t>
            </w:r>
            <w:r w:rsidRPr="00113D36">
              <w:rPr>
                <w:rFonts w:ascii="Arial" w:hAnsi="Arial" w:cs="Arial"/>
                <w:b/>
                <w:bCs/>
                <w:sz w:val="20"/>
                <w:szCs w:val="20"/>
              </w:rPr>
              <w:t xml:space="preserve">п, де </w:t>
            </w:r>
          </w:p>
          <w:p w14:paraId="286D7F7A" w14:textId="77777777" w:rsidR="00687D75" w:rsidRPr="00687D75" w:rsidRDefault="00687D75">
            <w:pPr>
              <w:pStyle w:val="Default"/>
              <w:rPr>
                <w:rFonts w:ascii="Arial" w:hAnsi="Arial" w:cs="Arial"/>
                <w:sz w:val="20"/>
                <w:szCs w:val="20"/>
              </w:rPr>
            </w:pPr>
            <w:r>
              <w:rPr>
                <w:rFonts w:ascii="Arial" w:hAnsi="Arial" w:cs="Arial"/>
                <w:sz w:val="20"/>
                <w:szCs w:val="20"/>
                <w:lang w:val="en-US"/>
              </w:rPr>
              <w:t>V</w:t>
            </w:r>
            <w:r w:rsidR="0019431C" w:rsidRPr="00113D36">
              <w:rPr>
                <w:rFonts w:ascii="Arial" w:hAnsi="Arial" w:cs="Arial"/>
                <w:sz w:val="20"/>
                <w:szCs w:val="20"/>
              </w:rPr>
              <w:t xml:space="preserve">ф – фактична вартість купівлі Постачальником обсягів електроенергії Споживача у ДП «Енергоринок» з урахуванням ПДВ, яка визначається як сума добутків погодинних обсягів споживання електроенергії Споживачем та фактичної ціни </w:t>
            </w:r>
            <w:r w:rsidR="0000028C" w:rsidRPr="0000028C">
              <w:rPr>
                <w:rFonts w:ascii="Arial" w:hAnsi="Arial" w:cs="Arial"/>
                <w:sz w:val="20"/>
                <w:szCs w:val="20"/>
              </w:rPr>
              <w:t>кіловат-</w:t>
            </w:r>
            <w:r w:rsidR="0019431C" w:rsidRPr="00113D36">
              <w:rPr>
                <w:rFonts w:ascii="Arial" w:hAnsi="Arial" w:cs="Arial"/>
                <w:sz w:val="20"/>
                <w:szCs w:val="20"/>
              </w:rPr>
              <w:t xml:space="preserve">години за кожну годину кожної доби розрахункового періоду; </w:t>
            </w:r>
          </w:p>
          <w:p w14:paraId="0BC03607"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Wф – фактичні обсяги споживання електроенергії Споживачем у розрахунковому періоді; </w:t>
            </w:r>
          </w:p>
          <w:p w14:paraId="67E561B0" w14:textId="77777777" w:rsidR="0019431C" w:rsidRPr="00113D36" w:rsidRDefault="00687D75" w:rsidP="00687D75">
            <w:pPr>
              <w:pStyle w:val="Default"/>
              <w:rPr>
                <w:rFonts w:ascii="Arial" w:hAnsi="Arial" w:cs="Arial"/>
                <w:sz w:val="20"/>
                <w:szCs w:val="20"/>
              </w:rPr>
            </w:pPr>
            <w:r>
              <w:rPr>
                <w:rFonts w:ascii="Arial" w:hAnsi="Arial" w:cs="Arial"/>
                <w:sz w:val="20"/>
                <w:szCs w:val="20"/>
              </w:rPr>
              <w:t>Т</w:t>
            </w:r>
            <w:r w:rsidR="0019431C" w:rsidRPr="00113D36">
              <w:rPr>
                <w:rFonts w:ascii="Arial" w:hAnsi="Arial" w:cs="Arial"/>
                <w:sz w:val="20"/>
                <w:szCs w:val="20"/>
              </w:rPr>
              <w:t xml:space="preserve">п – коефіцієнт прибутковості Постачальника. Для цієї комерційної пропозиції  </w:t>
            </w:r>
            <w:r>
              <w:rPr>
                <w:rFonts w:ascii="Arial" w:hAnsi="Arial" w:cs="Arial"/>
                <w:sz w:val="20"/>
                <w:szCs w:val="20"/>
              </w:rPr>
              <w:t>Т</w:t>
            </w:r>
            <w:r w:rsidRPr="00113D36">
              <w:rPr>
                <w:rFonts w:ascii="Arial" w:hAnsi="Arial" w:cs="Arial"/>
                <w:sz w:val="20"/>
                <w:szCs w:val="20"/>
              </w:rPr>
              <w:t xml:space="preserve">п </w:t>
            </w:r>
            <w:r w:rsidR="0019431C" w:rsidRPr="00113D36">
              <w:rPr>
                <w:rFonts w:ascii="Arial" w:hAnsi="Arial" w:cs="Arial"/>
                <w:sz w:val="20"/>
                <w:szCs w:val="20"/>
              </w:rPr>
              <w:t xml:space="preserve">= 1,5. </w:t>
            </w:r>
          </w:p>
        </w:tc>
      </w:tr>
      <w:tr w:rsidR="0019431C" w:rsidRPr="00113D36" w14:paraId="04F28AE9" w14:textId="77777777" w:rsidTr="0019431C">
        <w:trPr>
          <w:trHeight w:val="2197"/>
        </w:trPr>
        <w:tc>
          <w:tcPr>
            <w:tcW w:w="4705" w:type="dxa"/>
          </w:tcPr>
          <w:p w14:paraId="198A5472" w14:textId="77777777" w:rsidR="0019431C" w:rsidRPr="00113D36" w:rsidRDefault="0019431C">
            <w:pPr>
              <w:pStyle w:val="Default"/>
              <w:rPr>
                <w:rFonts w:ascii="Arial" w:hAnsi="Arial" w:cs="Arial"/>
                <w:sz w:val="20"/>
                <w:szCs w:val="20"/>
              </w:rPr>
            </w:pPr>
            <w:r w:rsidRPr="00113D36">
              <w:rPr>
                <w:rFonts w:ascii="Arial" w:hAnsi="Arial" w:cs="Arial"/>
                <w:sz w:val="20"/>
                <w:szCs w:val="20"/>
              </w:rPr>
              <w:lastRenderedPageBreak/>
              <w:t xml:space="preserve">Порядок оплати за електричну енергію </w:t>
            </w:r>
          </w:p>
        </w:tc>
        <w:tc>
          <w:tcPr>
            <w:tcW w:w="5468" w:type="dxa"/>
          </w:tcPr>
          <w:p w14:paraId="6AD653A2"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Оплата електричної енергії здійснюється Споживачем у формі попередньої оплати. Попередня оплата здійснюється до 24 числа місяця, що передує розрахунковому періоду у розмірі повної вартості очікуваного споживання електричної енергії згідно з замовленим Споживачем обсягом споживання електричної енергії, який визначається за формулою: </w:t>
            </w:r>
          </w:p>
          <w:p w14:paraId="3B534CDC" w14:textId="77777777" w:rsidR="0019431C" w:rsidRPr="00113D36" w:rsidRDefault="0019431C">
            <w:pPr>
              <w:pStyle w:val="Default"/>
              <w:rPr>
                <w:rFonts w:ascii="Arial" w:hAnsi="Arial" w:cs="Arial"/>
                <w:sz w:val="20"/>
                <w:szCs w:val="20"/>
              </w:rPr>
            </w:pPr>
            <w:r w:rsidRPr="00113D36">
              <w:rPr>
                <w:rFonts w:ascii="Arial" w:hAnsi="Arial" w:cs="Arial"/>
                <w:b/>
                <w:bCs/>
                <w:sz w:val="20"/>
                <w:szCs w:val="20"/>
              </w:rPr>
              <w:t>ПO = Wзам *Ц</w:t>
            </w:r>
            <w:r w:rsidR="00687D75">
              <w:rPr>
                <w:rFonts w:ascii="Arial" w:hAnsi="Arial" w:cs="Arial"/>
                <w:b/>
                <w:bCs/>
                <w:sz w:val="20"/>
                <w:szCs w:val="20"/>
              </w:rPr>
              <w:t>п</w:t>
            </w:r>
            <w:r w:rsidRPr="00113D36">
              <w:rPr>
                <w:rFonts w:ascii="Arial" w:hAnsi="Arial" w:cs="Arial"/>
                <w:sz w:val="20"/>
                <w:szCs w:val="20"/>
              </w:rPr>
              <w:t xml:space="preserve">, де </w:t>
            </w:r>
          </w:p>
          <w:p w14:paraId="05B87A0E"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Wзам – замовлені Споживачем обсяги споживання на розрахунковий період, </w:t>
            </w:r>
          </w:p>
          <w:p w14:paraId="112F0E4E" w14:textId="77777777" w:rsidR="0019431C" w:rsidRPr="00113D36" w:rsidRDefault="0019431C">
            <w:pPr>
              <w:pStyle w:val="Default"/>
              <w:rPr>
                <w:rFonts w:ascii="Arial" w:hAnsi="Arial" w:cs="Arial"/>
                <w:sz w:val="20"/>
                <w:szCs w:val="20"/>
              </w:rPr>
            </w:pPr>
            <w:r w:rsidRPr="00113D36">
              <w:rPr>
                <w:rFonts w:ascii="Arial" w:hAnsi="Arial" w:cs="Arial"/>
                <w:sz w:val="20"/>
                <w:szCs w:val="20"/>
              </w:rPr>
              <w:t>Ц</w:t>
            </w:r>
            <w:r w:rsidR="00687D75">
              <w:rPr>
                <w:rFonts w:ascii="Arial" w:hAnsi="Arial" w:cs="Arial"/>
                <w:sz w:val="20"/>
                <w:szCs w:val="20"/>
              </w:rPr>
              <w:t>п</w:t>
            </w:r>
            <w:r w:rsidRPr="00113D36">
              <w:rPr>
                <w:rFonts w:ascii="Arial" w:hAnsi="Arial" w:cs="Arial"/>
                <w:sz w:val="20"/>
                <w:szCs w:val="20"/>
              </w:rPr>
              <w:t xml:space="preserve"> – прогнозована ціна (тариф), механізм визначення якої вказаний у розділі «Ціна» цієї комерційної пропозиції. </w:t>
            </w:r>
          </w:p>
          <w:p w14:paraId="5544880C"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Попередня оплата здійснюється на підставі отриманого у Постачальника рахунку. Оплата здійснюється на рахунок Постачальника зазначений у розрахункових документах. Датою здійснення оплати є дата, на яку оплачена сума коштів зараховується на поточний рахунок Постачальника. </w:t>
            </w:r>
          </w:p>
          <w:p w14:paraId="412419AA"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Сума переплати/недоплати Споживача, яка виникла в наслідок різниці між Ц та Цфакт визначається після завершення розрахункового періоду за формулою: </w:t>
            </w:r>
          </w:p>
          <w:p w14:paraId="20F9586A" w14:textId="77777777" w:rsidR="0019431C" w:rsidRPr="00113D36" w:rsidRDefault="0019431C">
            <w:pPr>
              <w:pStyle w:val="Default"/>
              <w:rPr>
                <w:rFonts w:ascii="Arial" w:hAnsi="Arial" w:cs="Arial"/>
                <w:sz w:val="20"/>
                <w:szCs w:val="20"/>
              </w:rPr>
            </w:pPr>
            <w:r w:rsidRPr="00113D36">
              <w:rPr>
                <w:rFonts w:ascii="Arial" w:hAnsi="Arial" w:cs="Arial"/>
                <w:b/>
                <w:bCs/>
                <w:sz w:val="20"/>
                <w:szCs w:val="20"/>
              </w:rPr>
              <w:t>СП = Опл – (</w:t>
            </w:r>
            <w:r w:rsidR="00687D75">
              <w:rPr>
                <w:rFonts w:ascii="Arial" w:hAnsi="Arial" w:cs="Arial"/>
                <w:b/>
                <w:bCs/>
                <w:sz w:val="20"/>
                <w:szCs w:val="20"/>
                <w:lang w:val="en-US"/>
              </w:rPr>
              <w:t>V</w:t>
            </w:r>
            <w:r w:rsidRPr="00113D36">
              <w:rPr>
                <w:rFonts w:ascii="Arial" w:hAnsi="Arial" w:cs="Arial"/>
                <w:b/>
                <w:bCs/>
                <w:sz w:val="20"/>
                <w:szCs w:val="20"/>
              </w:rPr>
              <w:t>ф+ Wф*ТРП)</w:t>
            </w:r>
            <w:r w:rsidRPr="00113D36">
              <w:rPr>
                <w:rFonts w:ascii="Arial" w:hAnsi="Arial" w:cs="Arial"/>
                <w:sz w:val="20"/>
                <w:szCs w:val="20"/>
              </w:rPr>
              <w:t xml:space="preserve">, де </w:t>
            </w:r>
          </w:p>
          <w:p w14:paraId="18C1A331" w14:textId="77777777" w:rsidR="0019431C" w:rsidRPr="00113D36" w:rsidRDefault="0019431C">
            <w:pPr>
              <w:pStyle w:val="Default"/>
              <w:rPr>
                <w:rFonts w:ascii="Arial" w:hAnsi="Arial" w:cs="Arial"/>
                <w:sz w:val="20"/>
                <w:szCs w:val="20"/>
              </w:rPr>
            </w:pPr>
            <w:r w:rsidRPr="00113D36">
              <w:rPr>
                <w:rFonts w:ascii="Arial" w:hAnsi="Arial" w:cs="Arial"/>
                <w:sz w:val="20"/>
                <w:szCs w:val="20"/>
              </w:rPr>
              <w:t>Опл – здійснена оплата за е/е, та дорівнює більшому з ПО, або ДЗ (відповідно до розділу «</w:t>
            </w:r>
            <w:r w:rsidRPr="00113D36">
              <w:rPr>
                <w:rFonts w:ascii="Arial" w:hAnsi="Arial" w:cs="Arial"/>
                <w:b/>
                <w:bCs/>
                <w:i/>
                <w:iCs/>
                <w:sz w:val="20"/>
                <w:szCs w:val="20"/>
              </w:rPr>
              <w:t>Подання щомісячної заявки</w:t>
            </w:r>
            <w:r w:rsidRPr="00113D36">
              <w:rPr>
                <w:rFonts w:ascii="Arial" w:hAnsi="Arial" w:cs="Arial"/>
                <w:sz w:val="20"/>
                <w:szCs w:val="20"/>
              </w:rPr>
              <w:t>» з врахуванням вимог розділу «</w:t>
            </w:r>
            <w:r w:rsidRPr="00113D36">
              <w:rPr>
                <w:rFonts w:ascii="Arial" w:hAnsi="Arial" w:cs="Arial"/>
                <w:b/>
                <w:bCs/>
                <w:i/>
                <w:iCs/>
                <w:sz w:val="20"/>
                <w:szCs w:val="20"/>
              </w:rPr>
              <w:t>Коригування замовлених обсягів</w:t>
            </w:r>
            <w:r w:rsidRPr="00113D36">
              <w:rPr>
                <w:rFonts w:ascii="Arial" w:hAnsi="Arial" w:cs="Arial"/>
                <w:sz w:val="20"/>
                <w:szCs w:val="20"/>
              </w:rPr>
              <w:t xml:space="preserve">» цієї комерційної пропозиції). </w:t>
            </w:r>
          </w:p>
          <w:p w14:paraId="579E499E" w14:textId="77777777" w:rsidR="0019431C" w:rsidRPr="006D1022" w:rsidRDefault="0019431C">
            <w:pPr>
              <w:pStyle w:val="Default"/>
              <w:rPr>
                <w:rFonts w:ascii="Arial" w:hAnsi="Arial" w:cs="Arial"/>
                <w:sz w:val="20"/>
                <w:szCs w:val="20"/>
                <w:lang w:val="ru-RU"/>
              </w:rPr>
            </w:pPr>
            <w:r w:rsidRPr="00113D36">
              <w:rPr>
                <w:rFonts w:ascii="Arial" w:hAnsi="Arial" w:cs="Arial"/>
                <w:sz w:val="20"/>
                <w:szCs w:val="20"/>
              </w:rPr>
              <w:t xml:space="preserve">Сума переплати Споживача зараховується в якості оплати наступного розрахункового періоду, або за зверненням Споживача повертається </w:t>
            </w:r>
          </w:p>
          <w:p w14:paraId="6E7B22CA" w14:textId="77777777" w:rsidR="0019431C" w:rsidRPr="00113D36" w:rsidRDefault="0019431C">
            <w:pPr>
              <w:pStyle w:val="Default"/>
              <w:rPr>
                <w:rFonts w:ascii="Arial" w:hAnsi="Arial" w:cs="Arial"/>
                <w:sz w:val="20"/>
                <w:szCs w:val="20"/>
                <w:lang w:val="ru-RU"/>
              </w:rPr>
            </w:pPr>
            <w:r w:rsidRPr="00113D36">
              <w:rPr>
                <w:rFonts w:ascii="Arial" w:hAnsi="Arial" w:cs="Arial"/>
                <w:sz w:val="20"/>
                <w:szCs w:val="20"/>
              </w:rPr>
              <w:t>Постачальником на поточний рахунок Споживача. Сума недоплати Споживача підлягає безумовній оплаті Споживачем не пізніше 5 робочих днів з дня отримання рахунку.</w:t>
            </w:r>
          </w:p>
        </w:tc>
      </w:tr>
      <w:tr w:rsidR="0019431C" w:rsidRPr="00113D36" w14:paraId="6C397B74" w14:textId="77777777" w:rsidTr="0019431C">
        <w:trPr>
          <w:trHeight w:val="205"/>
        </w:trPr>
        <w:tc>
          <w:tcPr>
            <w:tcW w:w="4705" w:type="dxa"/>
          </w:tcPr>
          <w:p w14:paraId="67C7B2EE"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Оплата послуг з розподілу електричної енергії </w:t>
            </w:r>
          </w:p>
        </w:tc>
        <w:tc>
          <w:tcPr>
            <w:tcW w:w="5468" w:type="dxa"/>
          </w:tcPr>
          <w:p w14:paraId="73284DB1"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Оплату послуг з розподілу електричної енергії здійснює Споживач. </w:t>
            </w:r>
          </w:p>
        </w:tc>
      </w:tr>
      <w:tr w:rsidR="0019431C" w:rsidRPr="00113D36" w14:paraId="3E6CE002" w14:textId="77777777" w:rsidTr="0019431C">
        <w:trPr>
          <w:trHeight w:val="414"/>
        </w:trPr>
        <w:tc>
          <w:tcPr>
            <w:tcW w:w="4705" w:type="dxa"/>
          </w:tcPr>
          <w:p w14:paraId="74421097"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Подання щомісячної заявки </w:t>
            </w:r>
          </w:p>
        </w:tc>
        <w:tc>
          <w:tcPr>
            <w:tcW w:w="5468" w:type="dxa"/>
          </w:tcPr>
          <w:p w14:paraId="25837003"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Щомісячно, до 10-гo числа (включно) місяця, що передує розрахунковому, Споживач надає Постачальнику в письмовій формі відомості про очікуване погодинне споживання електричної енергії в розрахунковому місяці з розбивкою за точками обліку відповідно до ЕІС кодів. </w:t>
            </w:r>
          </w:p>
        </w:tc>
      </w:tr>
      <w:tr w:rsidR="0019431C" w:rsidRPr="00113D36" w14:paraId="73106B0C" w14:textId="77777777" w:rsidTr="0019431C">
        <w:trPr>
          <w:trHeight w:val="2406"/>
        </w:trPr>
        <w:tc>
          <w:tcPr>
            <w:tcW w:w="4705" w:type="dxa"/>
          </w:tcPr>
          <w:p w14:paraId="71DA7A0D"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Коригування замовлених обсягів </w:t>
            </w:r>
          </w:p>
        </w:tc>
        <w:tc>
          <w:tcPr>
            <w:tcW w:w="5468" w:type="dxa"/>
          </w:tcPr>
          <w:p w14:paraId="65892FF1"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В разі необхідності Споживач може скоригувати замовлений обсяг купівлі електричної енергії до 12-го числа (включно) розрахункового місяця. Відомості про скориговані замовлені обсяги купівлі електричної енергії Споживач надає Постачальнику в письмовій формі за точками обліку відповідно до ЕІС кодів. Загальний скоригований замовлений обсяг купівлі електричної енергії Споживача не повинен відрізнятись більш ніж на 15% в бік збільшення від початкового замовленого обсягу купівлі електричної енергії. Оплата вартості додатково замовлених обсягів купівлі електричної енергії здійснюється Споживачем самостійно до 12-го числа (включно) розрахункового місяця. Вартість додатково замовлених обсягів визначається за формулою: </w:t>
            </w:r>
          </w:p>
          <w:p w14:paraId="5B012E0E" w14:textId="77777777" w:rsidR="0019431C" w:rsidRPr="00113D36" w:rsidRDefault="0019431C">
            <w:pPr>
              <w:pStyle w:val="Default"/>
              <w:rPr>
                <w:rFonts w:ascii="Arial" w:hAnsi="Arial" w:cs="Arial"/>
                <w:sz w:val="20"/>
                <w:szCs w:val="20"/>
              </w:rPr>
            </w:pPr>
            <w:r w:rsidRPr="00113D36">
              <w:rPr>
                <w:rFonts w:ascii="Arial" w:hAnsi="Arial" w:cs="Arial"/>
                <w:b/>
                <w:bCs/>
                <w:sz w:val="20"/>
                <w:szCs w:val="20"/>
              </w:rPr>
              <w:t>ДЗ = Wдод_зам *Ц</w:t>
            </w:r>
            <w:r w:rsidR="0000028C">
              <w:rPr>
                <w:rFonts w:ascii="Arial" w:hAnsi="Arial" w:cs="Arial"/>
                <w:b/>
                <w:bCs/>
                <w:sz w:val="20"/>
                <w:szCs w:val="20"/>
              </w:rPr>
              <w:t>п</w:t>
            </w:r>
            <w:r w:rsidRPr="00113D36">
              <w:rPr>
                <w:rFonts w:ascii="Arial" w:hAnsi="Arial" w:cs="Arial"/>
                <w:b/>
                <w:bCs/>
                <w:sz w:val="20"/>
                <w:szCs w:val="20"/>
              </w:rPr>
              <w:t xml:space="preserve"> </w:t>
            </w:r>
            <w:r w:rsidRPr="00113D36">
              <w:rPr>
                <w:rFonts w:ascii="Arial" w:hAnsi="Arial" w:cs="Arial"/>
                <w:sz w:val="20"/>
                <w:szCs w:val="20"/>
              </w:rPr>
              <w:t xml:space="preserve">, де </w:t>
            </w:r>
          </w:p>
          <w:p w14:paraId="5750B271"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Wдод_зам – додатково замовлені споживачем обсяги споживання на розрахунковий період, </w:t>
            </w:r>
          </w:p>
          <w:p w14:paraId="4DDA6D58" w14:textId="77777777" w:rsidR="0019431C" w:rsidRPr="00113D36" w:rsidRDefault="0019431C">
            <w:pPr>
              <w:pStyle w:val="Default"/>
              <w:rPr>
                <w:rFonts w:ascii="Arial" w:hAnsi="Arial" w:cs="Arial"/>
                <w:sz w:val="20"/>
                <w:szCs w:val="20"/>
              </w:rPr>
            </w:pPr>
            <w:r w:rsidRPr="00113D36">
              <w:rPr>
                <w:rFonts w:ascii="Arial" w:hAnsi="Arial" w:cs="Arial"/>
                <w:sz w:val="20"/>
                <w:szCs w:val="20"/>
              </w:rPr>
              <w:t>Ц</w:t>
            </w:r>
            <w:r w:rsidR="0000028C">
              <w:rPr>
                <w:rFonts w:ascii="Arial" w:hAnsi="Arial" w:cs="Arial"/>
                <w:sz w:val="20"/>
                <w:szCs w:val="20"/>
              </w:rPr>
              <w:t>п</w:t>
            </w:r>
            <w:r w:rsidRPr="00113D36">
              <w:rPr>
                <w:rFonts w:ascii="Arial" w:hAnsi="Arial" w:cs="Arial"/>
                <w:sz w:val="20"/>
                <w:szCs w:val="20"/>
              </w:rPr>
              <w:t xml:space="preserve"> – прогнозована ціна (тариф), механізм визначення якої вказаний у розділі «Ціна» цієї комерційної пропозиції. </w:t>
            </w:r>
          </w:p>
          <w:p w14:paraId="4FA1B012"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Датою здійснення оплати є дата, на яку оплачена сума коштів зараховується на поточний рахунок Постачальника. Відомості про скориговані замовлені обсяги купівлі електричної енергії, отримані Постачальником після 12-го числа розрахункового </w:t>
            </w:r>
            <w:r w:rsidRPr="00113D36">
              <w:rPr>
                <w:rFonts w:ascii="Arial" w:hAnsi="Arial" w:cs="Arial"/>
                <w:sz w:val="20"/>
                <w:szCs w:val="20"/>
              </w:rPr>
              <w:lastRenderedPageBreak/>
              <w:t xml:space="preserve">місяця, не розглядаються. </w:t>
            </w:r>
          </w:p>
          <w:p w14:paraId="08EC79FC"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Також Споживач надає підтвердження оплати послуг з розподілу відповідному Оператору системи розподілу (далі – ОСР). Вартість та терміни оплати послуг з розподілу визначається згідно з договором про надання послуг з розподілу е/е з відповідним ОСР. </w:t>
            </w:r>
          </w:p>
        </w:tc>
      </w:tr>
      <w:tr w:rsidR="0019431C" w:rsidRPr="00113D36" w14:paraId="580E63B0" w14:textId="77777777" w:rsidTr="0019431C">
        <w:trPr>
          <w:trHeight w:val="835"/>
        </w:trPr>
        <w:tc>
          <w:tcPr>
            <w:tcW w:w="4705" w:type="dxa"/>
          </w:tcPr>
          <w:p w14:paraId="57E79588" w14:textId="77777777" w:rsidR="0019431C" w:rsidRPr="00113D36" w:rsidRDefault="0019431C">
            <w:pPr>
              <w:pStyle w:val="Default"/>
              <w:rPr>
                <w:rFonts w:ascii="Arial" w:hAnsi="Arial" w:cs="Arial"/>
                <w:sz w:val="20"/>
                <w:szCs w:val="20"/>
              </w:rPr>
            </w:pPr>
            <w:r w:rsidRPr="00113D36">
              <w:rPr>
                <w:rFonts w:ascii="Arial" w:hAnsi="Arial" w:cs="Arial"/>
                <w:sz w:val="20"/>
                <w:szCs w:val="20"/>
              </w:rPr>
              <w:lastRenderedPageBreak/>
              <w:t xml:space="preserve">Штраф за перевищення замовлених обсягів споживання електричної енергії </w:t>
            </w:r>
          </w:p>
        </w:tc>
        <w:tc>
          <w:tcPr>
            <w:tcW w:w="5468" w:type="dxa"/>
          </w:tcPr>
          <w:p w14:paraId="6A606B14" w14:textId="77777777" w:rsidR="0019431C" w:rsidRPr="00113D36" w:rsidRDefault="0019431C">
            <w:pPr>
              <w:pStyle w:val="Default"/>
              <w:rPr>
                <w:rFonts w:ascii="Arial" w:hAnsi="Arial" w:cs="Arial"/>
                <w:sz w:val="20"/>
                <w:szCs w:val="20"/>
              </w:rPr>
            </w:pPr>
            <w:r w:rsidRPr="00113D36">
              <w:rPr>
                <w:rFonts w:ascii="Arial" w:hAnsi="Arial" w:cs="Arial"/>
                <w:sz w:val="20"/>
                <w:szCs w:val="20"/>
              </w:rPr>
              <w:t>За перевищення замовлених обсягів споживання електричної енергії в розрахунковому місяці (відповідно до розділу «</w:t>
            </w:r>
            <w:r w:rsidRPr="00113D36">
              <w:rPr>
                <w:rFonts w:ascii="Arial" w:hAnsi="Arial" w:cs="Arial"/>
                <w:b/>
                <w:bCs/>
                <w:i/>
                <w:iCs/>
                <w:sz w:val="20"/>
                <w:szCs w:val="20"/>
              </w:rPr>
              <w:t>Подання щомісячної заявки</w:t>
            </w:r>
            <w:r w:rsidRPr="00113D36">
              <w:rPr>
                <w:rFonts w:ascii="Arial" w:hAnsi="Arial" w:cs="Arial"/>
                <w:sz w:val="20"/>
                <w:szCs w:val="20"/>
              </w:rPr>
              <w:t>» з врахуванням вимог розділу «</w:t>
            </w:r>
            <w:r w:rsidRPr="00113D36">
              <w:rPr>
                <w:rFonts w:ascii="Arial" w:hAnsi="Arial" w:cs="Arial"/>
                <w:b/>
                <w:bCs/>
                <w:i/>
                <w:iCs/>
                <w:sz w:val="20"/>
                <w:szCs w:val="20"/>
              </w:rPr>
              <w:t>Коригування замовлених обсягів</w:t>
            </w:r>
            <w:r w:rsidRPr="00113D36">
              <w:rPr>
                <w:rFonts w:ascii="Arial" w:hAnsi="Arial" w:cs="Arial"/>
                <w:sz w:val="20"/>
                <w:szCs w:val="20"/>
              </w:rPr>
              <w:t xml:space="preserve">» цієї комерційної пропозиції), Споживач сплачує Постачальнику штраф у розмірі 10% від вартості різниці між фактичним та замовленим обсягом е/е за прогнозованою оптовою ціною на відповідний розрахунковий період (з ПДВ). </w:t>
            </w:r>
          </w:p>
          <w:p w14:paraId="0FF8D4F5"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Нараховані суми штрафу мають бути сплачені Споживачем протягом 5 робочих днів з дня отримання рахунка від Постачальника. </w:t>
            </w:r>
          </w:p>
        </w:tc>
      </w:tr>
      <w:tr w:rsidR="0019431C" w:rsidRPr="00113D36" w14:paraId="2CF6D8FB" w14:textId="77777777" w:rsidTr="0019431C">
        <w:trPr>
          <w:trHeight w:val="834"/>
        </w:trPr>
        <w:tc>
          <w:tcPr>
            <w:tcW w:w="4705" w:type="dxa"/>
          </w:tcPr>
          <w:p w14:paraId="3B1348FB"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Строк надання рахунку за спожиту електричну енергію та строк його оплати </w:t>
            </w:r>
          </w:p>
        </w:tc>
        <w:tc>
          <w:tcPr>
            <w:tcW w:w="5468" w:type="dxa"/>
          </w:tcPr>
          <w:p w14:paraId="6DE38A31"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Постачальник до 12 числа включно місяця, наступного за розрахунковим, оформлює Акт купівлі-продажу електричної енергії за місяць, та в цей же строк надає його Споживачу. Разом з Актом купівлі-продажу електричної енергії Постачальник надає рахунок на оплату фактично використаної електричної енергії. </w:t>
            </w:r>
          </w:p>
          <w:p w14:paraId="4D395ECE"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Оплата рахунка за фактичну використану електричну енергію Постачальника має бути здійснена Споживачем протягом 5 робочих днів від дня його отримання. </w:t>
            </w:r>
          </w:p>
        </w:tc>
      </w:tr>
      <w:tr w:rsidR="0019431C" w:rsidRPr="00113D36" w14:paraId="15D7C4E5" w14:textId="77777777" w:rsidTr="0019431C">
        <w:trPr>
          <w:trHeight w:val="834"/>
        </w:trPr>
        <w:tc>
          <w:tcPr>
            <w:tcW w:w="4705" w:type="dxa"/>
          </w:tcPr>
          <w:p w14:paraId="14EEEE5A"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Розмір пені за порушення строків оплати </w:t>
            </w:r>
          </w:p>
        </w:tc>
        <w:tc>
          <w:tcPr>
            <w:tcW w:w="5468" w:type="dxa"/>
          </w:tcPr>
          <w:p w14:paraId="2D3AAC04"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У разі несвоєчасної оплати платежів, обумовлених цією комерційною пропозицією, у тому числі нездійснення попередньої оплати та оплати додатково замовлених обсягів купівлі електричної енергії,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w:t>
            </w:r>
          </w:p>
          <w:p w14:paraId="3EE5ED92"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Пеня сплачується на поточний рахунок Постачальника, який вказується в рахунках, протягом 5 робочих днів з дня отримання рахунка. </w:t>
            </w:r>
          </w:p>
        </w:tc>
      </w:tr>
      <w:tr w:rsidR="0019431C" w:rsidRPr="00113D36" w14:paraId="29CE1318" w14:textId="77777777" w:rsidTr="0019431C">
        <w:trPr>
          <w:trHeight w:val="625"/>
        </w:trPr>
        <w:tc>
          <w:tcPr>
            <w:tcW w:w="4705" w:type="dxa"/>
          </w:tcPr>
          <w:p w14:paraId="11A94A47"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Штраф за дострокове припинення договору </w:t>
            </w:r>
          </w:p>
        </w:tc>
        <w:tc>
          <w:tcPr>
            <w:tcW w:w="5468" w:type="dxa"/>
          </w:tcPr>
          <w:p w14:paraId="26934B67" w14:textId="77777777" w:rsidR="0019431C" w:rsidRPr="00113D36" w:rsidRDefault="0019431C">
            <w:pPr>
              <w:pStyle w:val="Default"/>
              <w:rPr>
                <w:rFonts w:ascii="Arial" w:hAnsi="Arial" w:cs="Arial"/>
                <w:sz w:val="20"/>
                <w:szCs w:val="20"/>
              </w:rPr>
            </w:pPr>
            <w:r w:rsidRPr="00113D36">
              <w:rPr>
                <w:rFonts w:ascii="Arial" w:hAnsi="Arial" w:cs="Arial"/>
                <w:sz w:val="20"/>
                <w:szCs w:val="20"/>
              </w:rPr>
              <w:t>У разі дострокового припинення</w:t>
            </w:r>
            <w:r w:rsidR="0000028C">
              <w:rPr>
                <w:rFonts w:ascii="Arial" w:hAnsi="Arial" w:cs="Arial"/>
                <w:sz w:val="20"/>
                <w:szCs w:val="20"/>
              </w:rPr>
              <w:t xml:space="preserve"> Договору</w:t>
            </w:r>
            <w:r w:rsidRPr="00113D36">
              <w:rPr>
                <w:rFonts w:ascii="Arial" w:hAnsi="Arial" w:cs="Arial"/>
                <w:sz w:val="20"/>
                <w:szCs w:val="20"/>
              </w:rPr>
              <w:t xml:space="preserve">, Споживач сплачує Постачальнику штраф. Сума штрафу визначається за формулою: </w:t>
            </w:r>
          </w:p>
          <w:p w14:paraId="7BC07E70" w14:textId="77777777" w:rsidR="0019431C" w:rsidRPr="00113D36" w:rsidRDefault="0019431C">
            <w:pPr>
              <w:pStyle w:val="Default"/>
              <w:rPr>
                <w:rFonts w:ascii="Arial" w:hAnsi="Arial" w:cs="Arial"/>
                <w:sz w:val="20"/>
                <w:szCs w:val="20"/>
              </w:rPr>
            </w:pPr>
            <w:r w:rsidRPr="00113D36">
              <w:rPr>
                <w:rFonts w:ascii="Arial" w:hAnsi="Arial" w:cs="Arial"/>
                <w:b/>
                <w:bCs/>
                <w:sz w:val="20"/>
                <w:szCs w:val="20"/>
              </w:rPr>
              <w:t xml:space="preserve">СШ = </w:t>
            </w:r>
            <w:r w:rsidRPr="00113D36">
              <w:rPr>
                <w:rFonts w:ascii="Arial" w:hAnsi="Arial" w:cs="Arial"/>
                <w:sz w:val="20"/>
                <w:szCs w:val="20"/>
              </w:rPr>
              <w:t>(</w:t>
            </w:r>
            <w:r w:rsidRPr="00113D36">
              <w:rPr>
                <w:rFonts w:ascii="Arial" w:hAnsi="Arial" w:cs="Arial"/>
                <w:b/>
                <w:bCs/>
                <w:sz w:val="20"/>
                <w:szCs w:val="20"/>
              </w:rPr>
              <w:t xml:space="preserve">Wзам </w:t>
            </w:r>
            <w:r w:rsidRPr="00113D36">
              <w:rPr>
                <w:rFonts w:ascii="Arial" w:hAnsi="Arial" w:cs="Arial"/>
                <w:sz w:val="20"/>
                <w:szCs w:val="20"/>
              </w:rPr>
              <w:t xml:space="preserve">– </w:t>
            </w:r>
            <w:r w:rsidRPr="00113D36">
              <w:rPr>
                <w:rFonts w:ascii="Arial" w:hAnsi="Arial" w:cs="Arial"/>
                <w:b/>
                <w:bCs/>
                <w:sz w:val="20"/>
                <w:szCs w:val="20"/>
              </w:rPr>
              <w:t>Wф)* ОРЦ</w:t>
            </w:r>
            <w:r w:rsidRPr="00113D36">
              <w:rPr>
                <w:rFonts w:ascii="Arial" w:hAnsi="Arial" w:cs="Arial"/>
                <w:sz w:val="20"/>
                <w:szCs w:val="20"/>
              </w:rPr>
              <w:t xml:space="preserve">, де </w:t>
            </w:r>
          </w:p>
          <w:p w14:paraId="22BF8E98" w14:textId="77777777" w:rsidR="0019431C" w:rsidRPr="00113D36" w:rsidRDefault="0019431C">
            <w:pPr>
              <w:pStyle w:val="Default"/>
              <w:rPr>
                <w:rFonts w:ascii="Arial" w:hAnsi="Arial" w:cs="Arial"/>
                <w:sz w:val="20"/>
                <w:szCs w:val="20"/>
              </w:rPr>
            </w:pPr>
            <w:r w:rsidRPr="00113D36">
              <w:rPr>
                <w:rFonts w:ascii="Arial" w:hAnsi="Arial" w:cs="Arial"/>
                <w:b/>
                <w:bCs/>
                <w:sz w:val="20"/>
                <w:szCs w:val="20"/>
              </w:rPr>
              <w:t xml:space="preserve">Wзам </w:t>
            </w:r>
            <w:r w:rsidRPr="00113D36">
              <w:rPr>
                <w:rFonts w:ascii="Arial" w:hAnsi="Arial" w:cs="Arial"/>
                <w:sz w:val="20"/>
                <w:szCs w:val="20"/>
              </w:rPr>
              <w:t>обсяг визначений відповідно до розділу «</w:t>
            </w:r>
            <w:r w:rsidRPr="00113D36">
              <w:rPr>
                <w:rFonts w:ascii="Arial" w:hAnsi="Arial" w:cs="Arial"/>
                <w:b/>
                <w:bCs/>
                <w:i/>
                <w:iCs/>
                <w:sz w:val="20"/>
                <w:szCs w:val="20"/>
              </w:rPr>
              <w:t>Подання щомісячної заявки</w:t>
            </w:r>
            <w:r w:rsidRPr="00113D36">
              <w:rPr>
                <w:rFonts w:ascii="Arial" w:hAnsi="Arial" w:cs="Arial"/>
                <w:sz w:val="20"/>
                <w:szCs w:val="20"/>
              </w:rPr>
              <w:t>» з врахуванням вимог розділу «</w:t>
            </w:r>
            <w:r w:rsidRPr="00113D36">
              <w:rPr>
                <w:rFonts w:ascii="Arial" w:hAnsi="Arial" w:cs="Arial"/>
                <w:b/>
                <w:bCs/>
                <w:i/>
                <w:iCs/>
                <w:sz w:val="20"/>
                <w:szCs w:val="20"/>
              </w:rPr>
              <w:t>Коригування замовлених обсягів</w:t>
            </w:r>
            <w:r w:rsidRPr="00113D36">
              <w:rPr>
                <w:rFonts w:ascii="Arial" w:hAnsi="Arial" w:cs="Arial"/>
                <w:sz w:val="20"/>
                <w:szCs w:val="20"/>
              </w:rPr>
              <w:t xml:space="preserve">» цієї комерційної пропозиції. </w:t>
            </w:r>
          </w:p>
        </w:tc>
      </w:tr>
      <w:tr w:rsidR="0019431C" w:rsidRPr="00113D36" w14:paraId="1DA279D5" w14:textId="77777777" w:rsidTr="0019431C">
        <w:trPr>
          <w:trHeight w:val="205"/>
        </w:trPr>
        <w:tc>
          <w:tcPr>
            <w:tcW w:w="4705" w:type="dxa"/>
          </w:tcPr>
          <w:p w14:paraId="61BF4A32"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Можливість надання </w:t>
            </w:r>
          </w:p>
          <w:p w14:paraId="028E4F23"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субсидій </w:t>
            </w:r>
          </w:p>
        </w:tc>
        <w:tc>
          <w:tcPr>
            <w:tcW w:w="5468" w:type="dxa"/>
          </w:tcPr>
          <w:p w14:paraId="287EA591"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Не передбачено. </w:t>
            </w:r>
          </w:p>
        </w:tc>
      </w:tr>
      <w:tr w:rsidR="0019431C" w:rsidRPr="00113D36" w14:paraId="5A6513FB" w14:textId="77777777" w:rsidTr="0019431C">
        <w:trPr>
          <w:trHeight w:val="206"/>
        </w:trPr>
        <w:tc>
          <w:tcPr>
            <w:tcW w:w="4705" w:type="dxa"/>
          </w:tcPr>
          <w:p w14:paraId="7D2895CD"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Можливість постачання захищеним Споживачам </w:t>
            </w:r>
          </w:p>
        </w:tc>
        <w:tc>
          <w:tcPr>
            <w:tcW w:w="5468" w:type="dxa"/>
          </w:tcPr>
          <w:p w14:paraId="1907C6DF"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Не передбачено. </w:t>
            </w:r>
          </w:p>
        </w:tc>
      </w:tr>
      <w:tr w:rsidR="0019431C" w:rsidRPr="00113D36" w14:paraId="7CBE7664" w14:textId="77777777" w:rsidTr="0019431C">
        <w:trPr>
          <w:trHeight w:val="938"/>
        </w:trPr>
        <w:tc>
          <w:tcPr>
            <w:tcW w:w="4705" w:type="dxa"/>
          </w:tcPr>
          <w:p w14:paraId="72BC5C26"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Розмір компенсації Споживачу за недодержання Постачальником комерційної якості послуг </w:t>
            </w:r>
          </w:p>
        </w:tc>
        <w:tc>
          <w:tcPr>
            <w:tcW w:w="5468" w:type="dxa"/>
          </w:tcPr>
          <w:p w14:paraId="3F280116" w14:textId="77777777" w:rsidR="0019431C" w:rsidRPr="00113D36" w:rsidRDefault="0019431C">
            <w:pPr>
              <w:pStyle w:val="Default"/>
              <w:rPr>
                <w:rFonts w:ascii="Arial" w:hAnsi="Arial" w:cs="Arial"/>
                <w:sz w:val="20"/>
                <w:szCs w:val="20"/>
              </w:rPr>
            </w:pPr>
            <w:r w:rsidRPr="00113D36">
              <w:rPr>
                <w:rFonts w:ascii="Arial" w:hAnsi="Arial" w:cs="Arial"/>
                <w:sz w:val="20"/>
                <w:szCs w:val="20"/>
              </w:rPr>
              <w:t xml:space="preserve">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 </w:t>
            </w:r>
          </w:p>
        </w:tc>
      </w:tr>
      <w:tr w:rsidR="0019431C" w:rsidRPr="00113D36" w14:paraId="4A2F301A" w14:textId="77777777" w:rsidTr="0019431C">
        <w:trPr>
          <w:trHeight w:val="565"/>
        </w:trPr>
        <w:tc>
          <w:tcPr>
            <w:tcW w:w="4705" w:type="dxa"/>
            <w:tcBorders>
              <w:top w:val="single" w:sz="4" w:space="0" w:color="auto"/>
              <w:left w:val="single" w:sz="4" w:space="0" w:color="auto"/>
              <w:bottom w:val="single" w:sz="4" w:space="0" w:color="auto"/>
              <w:right w:val="single" w:sz="4" w:space="0" w:color="auto"/>
            </w:tcBorders>
          </w:tcPr>
          <w:p w14:paraId="31D0CC85" w14:textId="77777777" w:rsidR="0019431C" w:rsidRPr="00113D36" w:rsidRDefault="0019431C" w:rsidP="0019431C">
            <w:pPr>
              <w:pStyle w:val="Default"/>
              <w:rPr>
                <w:rFonts w:ascii="Arial" w:hAnsi="Arial" w:cs="Arial"/>
                <w:sz w:val="20"/>
                <w:szCs w:val="20"/>
              </w:rPr>
            </w:pPr>
            <w:r w:rsidRPr="00113D36">
              <w:rPr>
                <w:rFonts w:ascii="Arial" w:hAnsi="Arial" w:cs="Arial"/>
                <w:sz w:val="20"/>
                <w:szCs w:val="20"/>
              </w:rPr>
              <w:t xml:space="preserve">Термін дії комерційної пропозиції </w:t>
            </w:r>
          </w:p>
        </w:tc>
        <w:tc>
          <w:tcPr>
            <w:tcW w:w="5468" w:type="dxa"/>
            <w:tcBorders>
              <w:top w:val="single" w:sz="4" w:space="0" w:color="auto"/>
              <w:left w:val="single" w:sz="4" w:space="0" w:color="auto"/>
              <w:bottom w:val="single" w:sz="4" w:space="0" w:color="auto"/>
              <w:right w:val="single" w:sz="4" w:space="0" w:color="auto"/>
            </w:tcBorders>
          </w:tcPr>
          <w:p w14:paraId="3242DD43" w14:textId="5BD6FFD9" w:rsidR="0019431C" w:rsidRPr="00113D36" w:rsidRDefault="0019431C" w:rsidP="0031333F">
            <w:pPr>
              <w:pStyle w:val="Default"/>
              <w:rPr>
                <w:rFonts w:ascii="Arial" w:hAnsi="Arial" w:cs="Arial"/>
                <w:sz w:val="20"/>
                <w:szCs w:val="20"/>
              </w:rPr>
            </w:pPr>
            <w:r w:rsidRPr="00113D36">
              <w:rPr>
                <w:rFonts w:ascii="Arial" w:hAnsi="Arial" w:cs="Arial"/>
                <w:sz w:val="20"/>
                <w:szCs w:val="20"/>
              </w:rPr>
              <w:t>Умови, зазначені в цієї К</w:t>
            </w:r>
            <w:r w:rsidR="0031333F">
              <w:rPr>
                <w:rFonts w:ascii="Arial" w:hAnsi="Arial" w:cs="Arial"/>
                <w:sz w:val="20"/>
                <w:szCs w:val="20"/>
              </w:rPr>
              <w:t>омерційній пропозиції діють до 3</w:t>
            </w:r>
            <w:r w:rsidRPr="00113D36">
              <w:rPr>
                <w:rFonts w:ascii="Arial" w:hAnsi="Arial" w:cs="Arial"/>
                <w:sz w:val="20"/>
                <w:szCs w:val="20"/>
              </w:rPr>
              <w:t>1.</w:t>
            </w:r>
            <w:r w:rsidR="00033D30" w:rsidRPr="00033D30">
              <w:rPr>
                <w:rFonts w:ascii="Arial" w:hAnsi="Arial" w:cs="Arial"/>
                <w:sz w:val="20"/>
                <w:szCs w:val="20"/>
                <w:lang w:val="ru-RU"/>
              </w:rPr>
              <w:t>1</w:t>
            </w:r>
            <w:r w:rsidR="0031333F">
              <w:rPr>
                <w:rFonts w:ascii="Arial" w:hAnsi="Arial" w:cs="Arial"/>
                <w:sz w:val="20"/>
                <w:szCs w:val="20"/>
                <w:lang w:val="ru-RU"/>
              </w:rPr>
              <w:t>2</w:t>
            </w:r>
            <w:r w:rsidRPr="00113D36">
              <w:rPr>
                <w:rFonts w:ascii="Arial" w:hAnsi="Arial" w:cs="Arial"/>
                <w:sz w:val="20"/>
                <w:szCs w:val="20"/>
              </w:rPr>
              <w:t>.20</w:t>
            </w:r>
            <w:r w:rsidR="00B82453">
              <w:rPr>
                <w:rFonts w:ascii="Arial" w:hAnsi="Arial" w:cs="Arial"/>
                <w:sz w:val="20"/>
                <w:szCs w:val="20"/>
                <w:lang w:val="ru-RU"/>
              </w:rPr>
              <w:t>2</w:t>
            </w:r>
            <w:r w:rsidR="00E861CE">
              <w:rPr>
                <w:rFonts w:ascii="Arial" w:hAnsi="Arial" w:cs="Arial"/>
                <w:sz w:val="20"/>
                <w:szCs w:val="20"/>
                <w:lang w:val="ru-RU"/>
              </w:rPr>
              <w:t>5</w:t>
            </w:r>
            <w:r w:rsidRPr="00113D36">
              <w:rPr>
                <w:rFonts w:ascii="Arial" w:hAnsi="Arial" w:cs="Arial"/>
                <w:sz w:val="20"/>
                <w:szCs w:val="20"/>
              </w:rPr>
              <w:t xml:space="preserve">р. </w:t>
            </w:r>
          </w:p>
        </w:tc>
      </w:tr>
      <w:tr w:rsidR="0019431C" w:rsidRPr="00113D36" w14:paraId="1B0EC1F2" w14:textId="77777777" w:rsidTr="0019431C">
        <w:trPr>
          <w:trHeight w:val="2626"/>
        </w:trPr>
        <w:tc>
          <w:tcPr>
            <w:tcW w:w="4705" w:type="dxa"/>
            <w:tcBorders>
              <w:top w:val="single" w:sz="4" w:space="0" w:color="auto"/>
              <w:left w:val="single" w:sz="4" w:space="0" w:color="auto"/>
              <w:bottom w:val="single" w:sz="4" w:space="0" w:color="auto"/>
              <w:right w:val="single" w:sz="4" w:space="0" w:color="auto"/>
            </w:tcBorders>
          </w:tcPr>
          <w:p w14:paraId="0F552A58" w14:textId="77777777" w:rsidR="0019431C" w:rsidRPr="00113D36" w:rsidRDefault="0019431C" w:rsidP="0019431C">
            <w:pPr>
              <w:pStyle w:val="Default"/>
              <w:rPr>
                <w:rFonts w:ascii="Arial" w:hAnsi="Arial" w:cs="Arial"/>
                <w:sz w:val="20"/>
                <w:szCs w:val="20"/>
              </w:rPr>
            </w:pPr>
            <w:r w:rsidRPr="00113D36">
              <w:rPr>
                <w:rFonts w:ascii="Arial" w:hAnsi="Arial" w:cs="Arial"/>
                <w:sz w:val="20"/>
                <w:szCs w:val="20"/>
              </w:rPr>
              <w:lastRenderedPageBreak/>
              <w:t xml:space="preserve">Інші умови </w:t>
            </w:r>
          </w:p>
        </w:tc>
        <w:tc>
          <w:tcPr>
            <w:tcW w:w="5468" w:type="dxa"/>
            <w:tcBorders>
              <w:top w:val="single" w:sz="4" w:space="0" w:color="auto"/>
              <w:left w:val="single" w:sz="4" w:space="0" w:color="auto"/>
              <w:bottom w:val="single" w:sz="4" w:space="0" w:color="auto"/>
              <w:right w:val="single" w:sz="4" w:space="0" w:color="auto"/>
            </w:tcBorders>
          </w:tcPr>
          <w:p w14:paraId="51461DBA" w14:textId="77777777" w:rsidR="0019431C" w:rsidRPr="00113D36" w:rsidRDefault="0019431C" w:rsidP="0019431C">
            <w:pPr>
              <w:pStyle w:val="Default"/>
              <w:rPr>
                <w:rFonts w:ascii="Arial" w:hAnsi="Arial" w:cs="Arial"/>
                <w:sz w:val="20"/>
                <w:szCs w:val="20"/>
              </w:rPr>
            </w:pPr>
            <w:r w:rsidRPr="00113D36">
              <w:rPr>
                <w:rFonts w:ascii="Arial" w:hAnsi="Arial" w:cs="Arial"/>
                <w:sz w:val="20"/>
                <w:szCs w:val="20"/>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та цієї Комерційної пропозиції, строки їх оплати, надсилання попередження про відключення за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09EF4569" w14:textId="77777777" w:rsidR="0019431C" w:rsidRPr="00113D36" w:rsidRDefault="0019431C" w:rsidP="0019431C">
            <w:pPr>
              <w:pStyle w:val="Default"/>
              <w:rPr>
                <w:rFonts w:ascii="Arial" w:hAnsi="Arial" w:cs="Arial"/>
                <w:sz w:val="20"/>
                <w:szCs w:val="20"/>
              </w:rPr>
            </w:pPr>
            <w:r w:rsidRPr="00113D36">
              <w:rPr>
                <w:rFonts w:ascii="Arial" w:hAnsi="Arial" w:cs="Arial"/>
                <w:sz w:val="20"/>
                <w:szCs w:val="20"/>
              </w:rPr>
              <w:t xml:space="preserve">- засобами електронного зв'язку на електронну адресу вказану у заяві-приєднання до умов договору, </w:t>
            </w:r>
          </w:p>
          <w:p w14:paraId="3B4682A5" w14:textId="77777777" w:rsidR="0019431C" w:rsidRPr="00113D36" w:rsidRDefault="0019431C" w:rsidP="0019431C">
            <w:pPr>
              <w:pStyle w:val="Default"/>
              <w:rPr>
                <w:rFonts w:ascii="Arial" w:hAnsi="Arial" w:cs="Arial"/>
                <w:sz w:val="20"/>
                <w:szCs w:val="20"/>
              </w:rPr>
            </w:pPr>
            <w:r w:rsidRPr="00113D36">
              <w:rPr>
                <w:rFonts w:ascii="Arial" w:hAnsi="Arial" w:cs="Arial"/>
                <w:sz w:val="20"/>
                <w:szCs w:val="20"/>
              </w:rPr>
              <w:t xml:space="preserve">- іншими засобами, передбаченими чинними нормативними документами. </w:t>
            </w:r>
          </w:p>
        </w:tc>
      </w:tr>
    </w:tbl>
    <w:p w14:paraId="462BF58C" w14:textId="77777777" w:rsidR="000B4880" w:rsidRDefault="000B4880" w:rsidP="000B4880">
      <w:pPr>
        <w:pStyle w:val="20"/>
        <w:shd w:val="clear" w:color="auto" w:fill="auto"/>
        <w:tabs>
          <w:tab w:val="left" w:pos="426"/>
        </w:tabs>
        <w:spacing w:after="0" w:line="240" w:lineRule="auto"/>
        <w:rPr>
          <w:rStyle w:val="210pt"/>
          <w:rFonts w:ascii="Arial" w:hAnsi="Arial" w:cs="Arial"/>
        </w:rPr>
      </w:pPr>
    </w:p>
    <w:p w14:paraId="50BBC350" w14:textId="77777777" w:rsidR="000B4880" w:rsidRDefault="000B4880" w:rsidP="000B4880">
      <w:pPr>
        <w:pStyle w:val="20"/>
        <w:shd w:val="clear" w:color="auto" w:fill="auto"/>
        <w:tabs>
          <w:tab w:val="left" w:pos="426"/>
        </w:tabs>
        <w:spacing w:after="0" w:line="240" w:lineRule="auto"/>
        <w:rPr>
          <w:rStyle w:val="210pt"/>
          <w:rFonts w:ascii="Arial" w:hAnsi="Arial" w:cs="Arial"/>
        </w:rPr>
      </w:pPr>
    </w:p>
    <w:p w14:paraId="41BB2BA4" w14:textId="77777777" w:rsidR="005C5ED2" w:rsidRDefault="005C5ED2" w:rsidP="000B4880">
      <w:pPr>
        <w:pStyle w:val="20"/>
        <w:shd w:val="clear" w:color="auto" w:fill="auto"/>
        <w:tabs>
          <w:tab w:val="left" w:pos="426"/>
        </w:tabs>
        <w:spacing w:after="0" w:line="240" w:lineRule="auto"/>
        <w:rPr>
          <w:rStyle w:val="210pt"/>
          <w:rFonts w:ascii="Arial" w:hAnsi="Arial" w:cs="Arial"/>
        </w:rPr>
      </w:pPr>
    </w:p>
    <w:p w14:paraId="63236C2E" w14:textId="46D703D7" w:rsidR="00113D36" w:rsidRPr="00236F6B" w:rsidRDefault="00113D36" w:rsidP="000B4880">
      <w:pPr>
        <w:pStyle w:val="20"/>
        <w:shd w:val="clear" w:color="auto" w:fill="auto"/>
        <w:tabs>
          <w:tab w:val="left" w:pos="426"/>
        </w:tabs>
        <w:spacing w:after="0" w:line="240" w:lineRule="auto"/>
        <w:rPr>
          <w:rStyle w:val="210pt"/>
          <w:rFonts w:ascii="Arial" w:hAnsi="Arial" w:cs="Arial"/>
          <w:b w:val="0"/>
          <w:bCs w:val="0"/>
          <w:color w:val="auto"/>
          <w:sz w:val="22"/>
          <w:szCs w:val="22"/>
          <w:shd w:val="clear" w:color="auto" w:fill="auto"/>
          <w:lang w:val="ru-RU" w:eastAsia="en-US" w:bidi="ar-SA"/>
        </w:rPr>
      </w:pPr>
      <w:r w:rsidRPr="005940E8">
        <w:rPr>
          <w:rStyle w:val="210pt"/>
          <w:rFonts w:ascii="Arial" w:hAnsi="Arial" w:cs="Arial"/>
        </w:rPr>
        <w:t>ПОСТАЧАЛЬНИК</w:t>
      </w:r>
      <w:r w:rsidR="00236F6B">
        <w:rPr>
          <w:rStyle w:val="210pt"/>
          <w:rFonts w:ascii="Arial" w:hAnsi="Arial" w:cs="Arial"/>
          <w:lang w:val="ru-RU"/>
        </w:rPr>
        <w:t>:</w:t>
      </w:r>
    </w:p>
    <w:p w14:paraId="60FA0078" w14:textId="77777777" w:rsidR="00113D36" w:rsidRPr="005940E8" w:rsidRDefault="00113D36" w:rsidP="00113D36">
      <w:pPr>
        <w:pStyle w:val="20"/>
        <w:shd w:val="clear" w:color="auto" w:fill="auto"/>
        <w:tabs>
          <w:tab w:val="left" w:pos="426"/>
        </w:tabs>
        <w:spacing w:after="0" w:line="240" w:lineRule="auto"/>
        <w:rPr>
          <w:rStyle w:val="210pt"/>
          <w:rFonts w:ascii="Arial" w:hAnsi="Arial" w:cs="Arial"/>
        </w:rPr>
      </w:pPr>
    </w:p>
    <w:p w14:paraId="71F0DAAD" w14:textId="71289EDC" w:rsidR="00113D36" w:rsidRPr="005940E8" w:rsidRDefault="00766CA8" w:rsidP="00113D36">
      <w:pPr>
        <w:pStyle w:val="20"/>
        <w:shd w:val="clear" w:color="auto" w:fill="auto"/>
        <w:tabs>
          <w:tab w:val="left" w:pos="426"/>
        </w:tabs>
        <w:spacing w:after="0" w:line="240" w:lineRule="auto"/>
        <w:rPr>
          <w:rFonts w:ascii="Arial" w:hAnsi="Arial" w:cs="Arial"/>
        </w:rPr>
      </w:pPr>
      <w:r>
        <w:rPr>
          <w:rStyle w:val="210pt"/>
          <w:rFonts w:ascii="Arial" w:hAnsi="Arial" w:cs="Arial"/>
          <w:lang w:val="ru-RU"/>
        </w:rPr>
        <w:t>ТОВ</w:t>
      </w:r>
      <w:r w:rsidR="00113D36" w:rsidRPr="005940E8">
        <w:rPr>
          <w:rStyle w:val="210pt"/>
          <w:rFonts w:ascii="Arial" w:hAnsi="Arial" w:cs="Arial"/>
        </w:rPr>
        <w:t xml:space="preserve"> «</w:t>
      </w:r>
      <w:r>
        <w:rPr>
          <w:rStyle w:val="210pt"/>
          <w:rFonts w:ascii="Arial" w:hAnsi="Arial" w:cs="Arial"/>
        </w:rPr>
        <w:t>ОВІД ВІНД</w:t>
      </w:r>
      <w:r w:rsidR="00113D36" w:rsidRPr="005940E8">
        <w:rPr>
          <w:rStyle w:val="210pt"/>
          <w:rFonts w:ascii="Arial" w:hAnsi="Arial" w:cs="Arial"/>
        </w:rPr>
        <w:t>»</w:t>
      </w:r>
    </w:p>
    <w:p w14:paraId="40020BF2" w14:textId="77777777" w:rsidR="00F74D17" w:rsidRDefault="00F74D17"/>
    <w:sectPr w:rsidR="00F74D17" w:rsidSect="0019431C">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9431C"/>
    <w:rsid w:val="0000028C"/>
    <w:rsid w:val="00024D77"/>
    <w:rsid w:val="00033D30"/>
    <w:rsid w:val="00080368"/>
    <w:rsid w:val="000B4880"/>
    <w:rsid w:val="00113D36"/>
    <w:rsid w:val="0019431C"/>
    <w:rsid w:val="00236F6B"/>
    <w:rsid w:val="0031333F"/>
    <w:rsid w:val="004257D7"/>
    <w:rsid w:val="005C5ED2"/>
    <w:rsid w:val="00687D75"/>
    <w:rsid w:val="006D1022"/>
    <w:rsid w:val="00766CA8"/>
    <w:rsid w:val="007D39AA"/>
    <w:rsid w:val="008571CF"/>
    <w:rsid w:val="009D6DD5"/>
    <w:rsid w:val="00B82453"/>
    <w:rsid w:val="00BA4E33"/>
    <w:rsid w:val="00C068A8"/>
    <w:rsid w:val="00D60B54"/>
    <w:rsid w:val="00E861CE"/>
    <w:rsid w:val="00F74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0CF6"/>
  <w15:docId w15:val="{A1781756-28E1-46CA-AE04-DEBBA1D8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1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431C"/>
    <w:pPr>
      <w:autoSpaceDE w:val="0"/>
      <w:autoSpaceDN w:val="0"/>
      <w:adjustRightInd w:val="0"/>
      <w:spacing w:after="0" w:line="240" w:lineRule="auto"/>
    </w:pPr>
    <w:rPr>
      <w:rFonts w:ascii="PragmaticaCTT" w:hAnsi="PragmaticaCTT" w:cs="PragmaticaCTT"/>
      <w:color w:val="000000"/>
      <w:sz w:val="24"/>
      <w:szCs w:val="24"/>
    </w:rPr>
  </w:style>
  <w:style w:type="character" w:customStyle="1" w:styleId="2">
    <w:name w:val="Основний текст (2)_"/>
    <w:basedOn w:val="a0"/>
    <w:link w:val="20"/>
    <w:rsid w:val="00113D36"/>
    <w:rPr>
      <w:rFonts w:ascii="Times New Roman" w:eastAsia="Times New Roman" w:hAnsi="Times New Roman" w:cs="Times New Roman"/>
      <w:shd w:val="clear" w:color="auto" w:fill="FFFFFF"/>
    </w:rPr>
  </w:style>
  <w:style w:type="paragraph" w:customStyle="1" w:styleId="20">
    <w:name w:val="Основний текст (2)"/>
    <w:basedOn w:val="a"/>
    <w:link w:val="2"/>
    <w:rsid w:val="00113D36"/>
    <w:pPr>
      <w:widowControl w:val="0"/>
      <w:shd w:val="clear" w:color="auto" w:fill="FFFFFF"/>
      <w:spacing w:after="960" w:line="259" w:lineRule="exact"/>
    </w:pPr>
    <w:rPr>
      <w:rFonts w:ascii="Times New Roman" w:eastAsia="Times New Roman" w:hAnsi="Times New Roman" w:cs="Times New Roman"/>
    </w:rPr>
  </w:style>
  <w:style w:type="character" w:customStyle="1" w:styleId="210pt">
    <w:name w:val="Основний текст (2) + 10 pt;Напівжирний"/>
    <w:basedOn w:val="2"/>
    <w:rsid w:val="00113D3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ВГЕ3</dc:creator>
  <cp:lastModifiedBy>User</cp:lastModifiedBy>
  <cp:revision>17</cp:revision>
  <dcterms:created xsi:type="dcterms:W3CDTF">2018-12-19T09:38:00Z</dcterms:created>
  <dcterms:modified xsi:type="dcterms:W3CDTF">2025-07-18T07:35:00Z</dcterms:modified>
</cp:coreProperties>
</file>